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480" w:after="240"/>
        <w:jc w:val="center"/>
      </w:pPr>
      <w:r>
        <w:rPr>
          <w:rFonts w:ascii="Times New Roman" w:hAnsi="Times New Roman" w:cs="Times New Roman"/>
          <w:b/>
          <w:i w:val="0"/>
          <w:sz w:val="32"/>
        </w:rPr>
        <w:t>РЕФЕРАТ</w:t>
      </w:r>
    </w:p>
    <w:p>
      <w:pPr>
        <w:spacing w:line="360" w:lineRule="auto" w:before="0" w:after="0"/>
        <w:jc w:val="center"/>
      </w:pPr>
      <w:r>
        <w:rPr>
          <w:rFonts w:ascii="Times New Roman" w:hAnsi="Times New Roman" w:cs="Times New Roman"/>
          <w:b w:val="0"/>
          <w:i w:val="0"/>
          <w:sz w:val="28"/>
        </w:rPr>
        <w:t>на тему:</w:t>
      </w:r>
    </w:p>
    <w:p>
      <w:pPr>
        <w:spacing w:line="360" w:lineRule="auto" w:before="0" w:after="0"/>
        <w:jc w:val="center"/>
      </w:pPr>
      <w:r>
        <w:rPr>
          <w:rFonts w:ascii="Times New Roman" w:hAnsi="Times New Roman" w:cs="Times New Roman"/>
          <w:b/>
          <w:i w:val="0"/>
          <w:sz w:val="28"/>
        </w:rPr>
        <w:t>«Информационные технологии в современном образовании»</w:t>
      </w:r>
    </w:p>
    <w:p>
      <w:pPr>
        <w:spacing w:line="360" w:lineRule="auto" w:before="0" w:after="720"/>
        <w:jc w:val="center"/>
      </w:pPr>
      <w:r>
        <w:rPr>
          <w:rFonts w:ascii="Times New Roman" w:hAnsi="Times New Roman" w:cs="Times New Roman"/>
          <w:b w:val="0"/>
          <w:i w:val="0"/>
          <w:sz w:val="28"/>
        </w:rPr>
      </w:r>
    </w:p>
    <w:p>
      <w:pPr>
        <w:spacing w:line="360" w:lineRule="auto" w:before="0" w:after="960"/>
        <w:jc w:val="center"/>
      </w:pPr>
      <w:r>
        <w:rPr>
          <w:rFonts w:ascii="Times New Roman" w:hAnsi="Times New Roman" w:cs="Times New Roman"/>
          <w:b w:val="0"/>
          <w:i w:val="0"/>
          <w:sz w:val="28"/>
        </w:rPr>
      </w:r>
    </w:p>
    <w:p>
      <w:pPr>
        <w:pageBreakBefore/>
        <w:spacing w:after="240" w:line="360" w:lineRule="auto"/>
        <w:jc w:val="center"/>
      </w:pPr>
      <w:r>
        <w:rPr>
          <w:rFonts w:ascii="Times New Roman" w:hAnsi="Times New Roman" w:cs="Times New Roman"/>
          <w:b/>
          <w:i w:val="0"/>
          <w:sz w:val="28"/>
        </w:rPr>
        <w:t>СОДЕРЖАНИЕ</w:t>
      </w:r>
    </w:p>
    <w:p>
      <w:pPr>
        <w:tabs>
          <w:tab w:pos="9354" w:val="right" w:leader="dot"/>
        </w:tabs>
        <w:spacing w:line="360" w:lineRule="auto"/>
      </w:pPr>
      <w:r>
        <w:rPr>
          <w:rFonts w:ascii="Times New Roman" w:hAnsi="Times New Roman" w:cs="Times New Roman"/>
          <w:b w:val="0"/>
          <w:i w:val="0"/>
          <w:sz w:val="28"/>
        </w:rPr>
        <w:t>ИНФОРМАЦИОННЫЕ ТЕХНОЛОГИИ КАК КОМПОНЕНТ СОВРЕМЕННОЙ ОБРАЗОВАТЕЛЬНОЙ СРЕДЫ</w:t>
        <w:tab/>
        <w:t>3</w:t>
      </w:r>
    </w:p>
    <w:p>
      <w:pPr>
        <w:tabs>
          <w:tab w:pos="9354" w:val="right" w:leader="dot"/>
        </w:tabs>
        <w:spacing w:line="360" w:lineRule="auto"/>
      </w:pPr>
      <w:r>
        <w:rPr>
          <w:rFonts w:ascii="Times New Roman" w:hAnsi="Times New Roman" w:cs="Times New Roman"/>
          <w:b w:val="0"/>
          <w:i w:val="0"/>
          <w:sz w:val="28"/>
        </w:rPr>
        <w:t>ФОРМЫ И МЕТОДЫ ПРИМЕНЕНИЯ ИНФОРМАЦИОННЫХ ТЕХНОЛОГИЙ В ОБРАЗОВАТЕЛЬНОМ ПРОЦЕССЕ</w:t>
        <w:tab/>
        <w:t>5</w:t>
      </w:r>
    </w:p>
    <w:p>
      <w:pPr>
        <w:tabs>
          <w:tab w:pos="9354" w:val="right" w:leader="dot"/>
        </w:tabs>
        <w:spacing w:line="360" w:lineRule="auto"/>
      </w:pPr>
      <w:r>
        <w:rPr>
          <w:rFonts w:ascii="Times New Roman" w:hAnsi="Times New Roman" w:cs="Times New Roman"/>
          <w:b w:val="0"/>
          <w:i w:val="0"/>
          <w:sz w:val="28"/>
        </w:rPr>
        <w:t>ПЕДАГОГИЧЕСКИЕ УСЛОВИЯ ЭФФЕКТИВНОГО ВНЕДРЕНИЯ ИНФОРМАЦИОННЫХ ТЕХНОЛОГИЙ В ОБРАЗОВАНИЕ</w:t>
        <w:tab/>
        <w:t>7</w:t>
      </w:r>
    </w:p>
    <w:p>
      <w:pPr>
        <w:tabs>
          <w:tab w:pos="9354" w:val="right" w:leader="dot"/>
        </w:tabs>
        <w:spacing w:line="360" w:lineRule="auto"/>
      </w:pPr>
      <w:r>
        <w:rPr>
          <w:rFonts w:ascii="Times New Roman" w:hAnsi="Times New Roman" w:cs="Times New Roman"/>
          <w:b w:val="0"/>
          <w:i w:val="0"/>
          <w:sz w:val="28"/>
        </w:rPr>
        <w:t>ПЕРСПЕКТИВЫ РАЗВИТИЯ ИНФОРМАЦИОННЫХ ТЕХНОЛОГИЙ В ОБРАЗОВАТЕЛЬНОЙ СИСТЕМЕ</w:t>
        <w:tab/>
        <w:t>9</w:t>
      </w:r>
    </w:p>
    <w:p>
      <w:pPr>
        <w:pageBreakBefore/>
        <w:spacing w:after="240" w:line="360" w:lineRule="auto"/>
        <w:jc w:val="center"/>
      </w:pPr>
      <w:r>
        <w:rPr>
          <w:rFonts w:ascii="Times New Roman" w:hAnsi="Times New Roman" w:cs="Times New Roman"/>
          <w:b/>
          <w:i w:val="0"/>
          <w:sz w:val="28"/>
        </w:rPr>
        <w:t>ИНФОРМАЦИОННЫЕ ТЕХНОЛОГИИ КАК КОМПОНЕНТ СОВРЕМЕННОЙ ОБРАЗОВАТЕЛЬНОЙ СРЕДЫ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b w:val="0"/>
          <w:i w:val="0"/>
          <w:sz w:val="28"/>
        </w:rPr>
        <w:t>Информационные технологии стали неотъемлемым компонентом современной образовательной среды, трансформируя традиционные подходы к обучению и управлению знаниями. Их интеграция в образовательный процесс осуществляется через разнообразные инструменты и платформы, которые обеспечивают доступ к учебным ресурсам, интерактивное взаимодействие и персонализацию образовательных траекторий. Электронные образовательные ресурсы, включающие цифровые учебники, мультимедийные материалы и онлайн-курсы, расширяют возможности самостоятельной работы студентов и обеспечивают гибкость в освоении материала.</w:t>
        <w:br/>
        <w:br/>
        <w:t>Современная образовательная среда характеризуется использованием виртуальных и смешанных форм обучения, которые становятся возможными благодаря информационным технологиям. Виртуальные лаборатории, симуляторы и образовательные платформы позволяют моделировать сложные процессы и эксперименты, создавая безопасные условия для обучения практическим навыкам. Системы управления обучением (LMS) таких как Moodle, Canvas и Microsoft Teams обеспечивают комплексную поддержку образовательного процесса, включая организацию учебных материалов, контроль знаний и взаимодействие между участниками образовательного процесса.</w:t>
        <w:br/>
        <w:br/>
        <w:t>Внедрение информационных технологий способствует развитию метапредметных компетенций, включая цифровую грамотность, критическое мышление и умение работать с информацией. Студенты осваивают навыки поиска, анализа и оценки цифровых ресурсов, что становится важным в условиях информационного общества. Одновременно с этим информационные технологии создают новые вызовы, связанные с обеспечением информационной безопасности, формированием цифровой этики и предотвращением дезинформации.</w:t>
        <w:br/>
        <w:br/>
        <w:t>Эффективное использование информационных технологий в образовании требует непрерывного повышения квалификации педагогических кадров и разработки методик, ориентированных на активные и интерактивные формы обучения. Педагоги выступают в роли фасилитаторов, направляющих студентов в процессе самостоятельного познания и создания новых знаний. Таким образом, информационные технологии не просто дополняют традиционное образование, а формируют новую образовательную парадигму, основанную на технологической поддержке и развитии цифровых компетенций.</w:t>
      </w:r>
    </w:p>
    <w:p>
      <w:pPr>
        <w:pageBreakBefore/>
        <w:spacing w:after="240" w:line="360" w:lineRule="auto"/>
        <w:jc w:val="center"/>
      </w:pPr>
      <w:r>
        <w:rPr>
          <w:rFonts w:ascii="Times New Roman" w:hAnsi="Times New Roman" w:cs="Times New Roman"/>
          <w:b/>
          <w:i w:val="0"/>
          <w:sz w:val="28"/>
        </w:rPr>
        <w:t>Полная версия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b w:val="0"/>
          <w:i w:val="0"/>
          <w:sz w:val="28"/>
        </w:rPr>
        <w:t>Это демонстрационная версия. Здесь показаны оглавление и начало работы, чтобы вы увидели структуру, стиль и оформление по ГОСТу. Полный текст со всеми разделами, списком литературы и готовым к сдаче форматированием открывается после оплаты.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b w:val="0"/>
          <w:i w:val="0"/>
          <w:sz w:val="28"/>
        </w:rPr>
        <w:t>Скрыто разделов: 3. Оглавление выше показывает их все.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4"/>
        </w:rP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cs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